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A7B68" w14:textId="14C644AF" w:rsidR="00AC0E6C" w:rsidRPr="00AC0E6C" w:rsidRDefault="00A11457" w:rsidP="00A11457">
      <w:pPr>
        <w:rPr>
          <w:b/>
          <w:sz w:val="32"/>
          <w:szCs w:val="32"/>
        </w:rPr>
      </w:pPr>
      <w:bookmarkStart w:id="0" w:name="_Hlk84929685"/>
      <w:r>
        <w:rPr>
          <w:b/>
          <w:bCs/>
          <w:sz w:val="28"/>
          <w:szCs w:val="28"/>
        </w:rPr>
        <w:t>T</w:t>
      </w:r>
      <w:bookmarkStart w:id="1" w:name="_Hlk84949645"/>
      <w:r>
        <w:rPr>
          <w:b/>
          <w:bCs/>
          <w:sz w:val="28"/>
          <w:szCs w:val="28"/>
        </w:rPr>
        <w:t xml:space="preserve">o: </w:t>
      </w:r>
      <w:r>
        <w:rPr>
          <w:b/>
          <w:bCs/>
          <w:sz w:val="28"/>
          <w:szCs w:val="28"/>
        </w:rPr>
        <w:t>Committee</w:t>
      </w:r>
      <w:r w:rsidRPr="00B11220">
        <w:rPr>
          <w:b/>
          <w:bCs/>
          <w:sz w:val="28"/>
          <w:szCs w:val="28"/>
        </w:rPr>
        <w:t xml:space="preserve"> meeting on Oct 14th</w:t>
      </w:r>
      <w:r w:rsidRPr="00B11220">
        <w:rPr>
          <w:rFonts w:ascii="Calibri" w:hAnsi="Calibri" w:cs="Calibri"/>
          <w:b/>
          <w:bCs/>
          <w:sz w:val="28"/>
          <w:szCs w:val="28"/>
        </w:rPr>
        <w:t xml:space="preserve"> </w:t>
      </w:r>
      <w:r>
        <w:rPr>
          <w:rFonts w:ascii="Calibri" w:hAnsi="Calibri" w:cs="Calibri"/>
          <w:b/>
          <w:bCs/>
          <w:sz w:val="28"/>
          <w:szCs w:val="28"/>
        </w:rPr>
        <w:br/>
      </w:r>
      <w:r w:rsidR="00330576" w:rsidRPr="00B11220">
        <w:rPr>
          <w:rFonts w:ascii="Calibri" w:hAnsi="Calibri" w:cs="Calibri"/>
          <w:b/>
          <w:bCs/>
          <w:sz w:val="28"/>
          <w:szCs w:val="28"/>
        </w:rPr>
        <w:t>Toronto and East York Community Council</w:t>
      </w:r>
      <w:r w:rsidR="00330576" w:rsidRPr="00B11220">
        <w:rPr>
          <w:b/>
          <w:bCs/>
          <w:sz w:val="28"/>
          <w:szCs w:val="28"/>
        </w:rPr>
        <w:br/>
      </w:r>
      <w:bookmarkEnd w:id="1"/>
      <w:r>
        <w:rPr>
          <w:b/>
          <w:bCs/>
          <w:sz w:val="28"/>
          <w:szCs w:val="28"/>
        </w:rPr>
        <w:t>--------------------------------------------------------</w:t>
      </w:r>
      <w:r w:rsidR="001F45B3">
        <w:rPr>
          <w:b/>
          <w:sz w:val="32"/>
          <w:szCs w:val="32"/>
        </w:rPr>
        <w:br/>
      </w:r>
      <w:r w:rsidR="001F45B3" w:rsidRPr="00A11457">
        <w:rPr>
          <w:b/>
          <w:sz w:val="28"/>
          <w:szCs w:val="28"/>
        </w:rPr>
        <w:t xml:space="preserve">Re: </w:t>
      </w:r>
      <w:r w:rsidR="00AC0E6C" w:rsidRPr="00A11457">
        <w:rPr>
          <w:b/>
          <w:sz w:val="28"/>
          <w:szCs w:val="28"/>
        </w:rPr>
        <w:t xml:space="preserve">Analysis of </w:t>
      </w:r>
      <w:r w:rsidR="001F45B3" w:rsidRPr="00A11457">
        <w:rPr>
          <w:b/>
          <w:sz w:val="28"/>
          <w:szCs w:val="28"/>
        </w:rPr>
        <w:t>Developer’s Proposal</w:t>
      </w:r>
      <w:r w:rsidR="001F45B3">
        <w:rPr>
          <w:b/>
          <w:sz w:val="32"/>
          <w:szCs w:val="32"/>
        </w:rPr>
        <w:br/>
        <w:t xml:space="preserve"> for </w:t>
      </w:r>
      <w:r w:rsidR="00AC0E6C" w:rsidRPr="00AC0E6C">
        <w:rPr>
          <w:b/>
          <w:sz w:val="32"/>
          <w:szCs w:val="32"/>
        </w:rPr>
        <w:t xml:space="preserve">1540 Bloor Street West </w:t>
      </w:r>
      <w:r>
        <w:rPr>
          <w:b/>
          <w:sz w:val="32"/>
          <w:szCs w:val="32"/>
        </w:rPr>
        <w:br/>
      </w:r>
      <w:bookmarkStart w:id="2" w:name="_GoBack"/>
      <w:bookmarkEnd w:id="2"/>
    </w:p>
    <w:p w14:paraId="2C0D4E48" w14:textId="77777777" w:rsidR="00AC0E6C" w:rsidRPr="00AC0E6C" w:rsidRDefault="00AC0E6C" w:rsidP="00A96937">
      <w:pPr>
        <w:rPr>
          <w:b/>
        </w:rPr>
      </w:pPr>
      <w:r w:rsidRPr="00AC0E6C">
        <w:rPr>
          <w:b/>
        </w:rPr>
        <w:t>This outline is an analysis of the residential component of this development.</w:t>
      </w:r>
    </w:p>
    <w:p w14:paraId="1580E120" w14:textId="667EE124" w:rsidR="00A96937" w:rsidRDefault="00A96937" w:rsidP="00A96937">
      <w:r>
        <w:t xml:space="preserve">The residential size </w:t>
      </w:r>
      <w:r w:rsidR="00AC0E6C">
        <w:t xml:space="preserve">(GFA) </w:t>
      </w:r>
      <w:r>
        <w:t xml:space="preserve">of </w:t>
      </w:r>
      <w:r w:rsidR="00AC0E6C">
        <w:t xml:space="preserve">the developer’s proposal </w:t>
      </w:r>
      <w:r>
        <w:t xml:space="preserve">is </w:t>
      </w:r>
      <w:r w:rsidR="00ED2355" w:rsidRPr="00C45803">
        <w:rPr>
          <w:highlight w:val="yellow"/>
          <w:u w:val="single"/>
        </w:rPr>
        <w:t>25,638 sq</w:t>
      </w:r>
      <w:r w:rsidR="00ED2355">
        <w:rPr>
          <w:highlight w:val="yellow"/>
          <w:u w:val="single"/>
        </w:rPr>
        <w:t>. meters</w:t>
      </w:r>
      <w:r w:rsidR="00ED2355" w:rsidRPr="00C45803">
        <w:rPr>
          <w:highlight w:val="yellow"/>
          <w:u w:val="single"/>
        </w:rPr>
        <w:t xml:space="preserve"> of residential gross floor area</w:t>
      </w:r>
      <w:r w:rsidR="00ED2355" w:rsidRPr="001319EC">
        <w:rPr>
          <w:u w:val="single"/>
        </w:rPr>
        <w:t xml:space="preserve"> </w:t>
      </w:r>
      <w:r w:rsidR="00ED2355">
        <w:rPr>
          <w:u w:val="single"/>
        </w:rPr>
        <w:t xml:space="preserve">which is equivalent to </w:t>
      </w:r>
      <w:r w:rsidRPr="00ED2355">
        <w:rPr>
          <w:highlight w:val="yellow"/>
          <w:u w:val="single"/>
        </w:rPr>
        <w:t>2</w:t>
      </w:r>
      <w:r w:rsidR="008B5510" w:rsidRPr="00ED2355">
        <w:rPr>
          <w:highlight w:val="yellow"/>
          <w:u w:val="single"/>
        </w:rPr>
        <w:t>51,537</w:t>
      </w:r>
      <w:r w:rsidRPr="00ED2355">
        <w:rPr>
          <w:highlight w:val="yellow"/>
          <w:u w:val="single"/>
        </w:rPr>
        <w:t xml:space="preserve"> sq.ft.</w:t>
      </w:r>
      <w:r w:rsidRPr="00520208">
        <w:rPr>
          <w:b/>
          <w:u w:val="single"/>
        </w:rPr>
        <w:t xml:space="preserve"> </w:t>
      </w:r>
    </w:p>
    <w:p w14:paraId="0C493F40" w14:textId="1538C75F" w:rsidR="000F6D50" w:rsidRDefault="00793E15" w:rsidP="001F4B5E">
      <w:r>
        <w:t>The</w:t>
      </w:r>
      <w:r w:rsidR="00AC0E6C">
        <w:t xml:space="preserve"> estimate</w:t>
      </w:r>
      <w:r>
        <w:t>d D</w:t>
      </w:r>
      <w:r w:rsidR="00A96937">
        <w:t xml:space="preserve">eveloper’s costs </w:t>
      </w:r>
      <w:r>
        <w:t>are</w:t>
      </w:r>
      <w:r w:rsidR="00A96937">
        <w:t xml:space="preserve"> </w:t>
      </w:r>
      <w:r w:rsidR="00A96937" w:rsidRPr="00520208">
        <w:rPr>
          <w:b/>
          <w:u w:val="single"/>
        </w:rPr>
        <w:t>$640 per sq.ft</w:t>
      </w:r>
      <w:r w:rsidR="00A96937">
        <w:t>.</w:t>
      </w:r>
    </w:p>
    <w:p w14:paraId="710C3DAF" w14:textId="024E2408" w:rsidR="00520208" w:rsidRDefault="00520208" w:rsidP="00520208">
      <w:pPr>
        <w:rPr>
          <w:rFonts w:ascii="Century Schoolbook" w:eastAsia="Times New Roman" w:hAnsi="Century Schoolbook" w:cs="Calibri"/>
          <w:b/>
          <w:bCs/>
          <w:color w:val="1F497D"/>
          <w:lang w:eastAsia="en-CA"/>
        </w:rPr>
      </w:pPr>
      <w:r>
        <w:rPr>
          <w:rFonts w:ascii="Century Schoolbook" w:eastAsia="Times New Roman" w:hAnsi="Century Schoolbook" w:cs="Calibri"/>
          <w:b/>
          <w:bCs/>
          <w:color w:val="1F497D"/>
          <w:lang w:eastAsia="en-CA"/>
        </w:rPr>
        <w:t>Typical Costs for a hi-rise condo</w:t>
      </w:r>
    </w:p>
    <w:tbl>
      <w:tblPr>
        <w:tblW w:w="5760" w:type="dxa"/>
        <w:tblLook w:val="04A0" w:firstRow="1" w:lastRow="0" w:firstColumn="1" w:lastColumn="0" w:noHBand="0" w:noVBand="1"/>
      </w:tblPr>
      <w:tblGrid>
        <w:gridCol w:w="3060"/>
        <w:gridCol w:w="1160"/>
        <w:gridCol w:w="1540"/>
      </w:tblGrid>
      <w:tr w:rsidR="00520208" w14:paraId="4807F4E8" w14:textId="77777777" w:rsidTr="00520208">
        <w:trPr>
          <w:trHeight w:val="300"/>
        </w:trPr>
        <w:tc>
          <w:tcPr>
            <w:tcW w:w="3060" w:type="dxa"/>
            <w:noWrap/>
            <w:vAlign w:val="center"/>
            <w:hideMark/>
          </w:tcPr>
          <w:p w14:paraId="7DA74EB1" w14:textId="77777777" w:rsidR="00520208" w:rsidRDefault="00520208" w:rsidP="00AF510B">
            <w:pPr>
              <w:spacing w:line="240" w:lineRule="auto"/>
              <w:ind w:right="-166"/>
              <w:rPr>
                <w:rFonts w:ascii="Century Schoolbook" w:eastAsia="Times New Roman" w:hAnsi="Century Schoolbook" w:cs="Calibri"/>
                <w:b/>
                <w:bCs/>
                <w:color w:val="1F497D"/>
                <w:u w:val="single"/>
                <w:lang w:eastAsia="en-CA"/>
              </w:rPr>
            </w:pPr>
            <w:r>
              <w:rPr>
                <w:rFonts w:ascii="Century Schoolbook" w:eastAsia="Times New Roman" w:hAnsi="Century Schoolbook" w:cs="Calibri"/>
                <w:b/>
                <w:bCs/>
                <w:color w:val="1F497D"/>
                <w:u w:val="single"/>
                <w:lang w:eastAsia="en-CA"/>
              </w:rPr>
              <w:t>Construction costs</w:t>
            </w:r>
          </w:p>
        </w:tc>
        <w:tc>
          <w:tcPr>
            <w:tcW w:w="1160" w:type="dxa"/>
            <w:noWrap/>
            <w:vAlign w:val="bottom"/>
            <w:hideMark/>
          </w:tcPr>
          <w:p w14:paraId="1682E0B4" w14:textId="77777777" w:rsidR="00520208" w:rsidRDefault="00520208" w:rsidP="00AF510B">
            <w:pPr>
              <w:spacing w:line="240" w:lineRule="auto"/>
              <w:rPr>
                <w:rFonts w:ascii="Calibri" w:eastAsia="Times New Roman" w:hAnsi="Calibri" w:cs="Calibri"/>
                <w:b/>
                <w:bCs/>
                <w:color w:val="000000"/>
                <w:lang w:eastAsia="en-CA"/>
              </w:rPr>
            </w:pPr>
            <w:r>
              <w:rPr>
                <w:rFonts w:ascii="Calibri" w:eastAsia="Times New Roman" w:hAnsi="Calibri" w:cs="Calibri"/>
                <w:b/>
                <w:bCs/>
                <w:color w:val="000000"/>
                <w:lang w:eastAsia="en-CA"/>
              </w:rPr>
              <w:t>$360</w:t>
            </w:r>
          </w:p>
        </w:tc>
        <w:tc>
          <w:tcPr>
            <w:tcW w:w="1540" w:type="dxa"/>
            <w:noWrap/>
            <w:vAlign w:val="bottom"/>
            <w:hideMark/>
          </w:tcPr>
          <w:p w14:paraId="35F30B5E" w14:textId="77777777" w:rsidR="00520208" w:rsidRDefault="00520208" w:rsidP="00AF510B">
            <w:pPr>
              <w:spacing w:line="240" w:lineRule="auto"/>
              <w:rPr>
                <w:rFonts w:ascii="Calibri" w:eastAsia="Times New Roman" w:hAnsi="Calibri" w:cs="Calibri"/>
                <w:b/>
                <w:bCs/>
                <w:color w:val="000000"/>
                <w:lang w:eastAsia="en-CA"/>
              </w:rPr>
            </w:pPr>
            <w:r>
              <w:rPr>
                <w:rFonts w:ascii="Calibri" w:eastAsia="Times New Roman" w:hAnsi="Calibri" w:cs="Calibri"/>
                <w:b/>
                <w:bCs/>
                <w:color w:val="000000"/>
                <w:lang w:eastAsia="en-CA"/>
              </w:rPr>
              <w:t>per sq.ft.</w:t>
            </w:r>
          </w:p>
        </w:tc>
      </w:tr>
      <w:tr w:rsidR="00520208" w14:paraId="41B8AC66" w14:textId="77777777" w:rsidTr="00520208">
        <w:trPr>
          <w:trHeight w:val="300"/>
        </w:trPr>
        <w:tc>
          <w:tcPr>
            <w:tcW w:w="3060" w:type="dxa"/>
            <w:noWrap/>
            <w:vAlign w:val="center"/>
            <w:hideMark/>
          </w:tcPr>
          <w:p w14:paraId="744B475D" w14:textId="77777777" w:rsidR="00520208" w:rsidRDefault="00520208" w:rsidP="00AF510B">
            <w:pPr>
              <w:spacing w:line="240" w:lineRule="auto"/>
              <w:ind w:right="-166"/>
              <w:rPr>
                <w:rFonts w:ascii="Century Schoolbook" w:eastAsia="Times New Roman" w:hAnsi="Century Schoolbook" w:cs="Calibri"/>
                <w:b/>
                <w:bCs/>
                <w:color w:val="1F497D"/>
                <w:u w:val="single"/>
                <w:lang w:eastAsia="en-CA"/>
              </w:rPr>
            </w:pPr>
            <w:r>
              <w:rPr>
                <w:rFonts w:ascii="Century Schoolbook" w:eastAsia="Times New Roman" w:hAnsi="Century Schoolbook" w:cs="Calibri"/>
                <w:b/>
                <w:bCs/>
                <w:color w:val="1F497D"/>
                <w:u w:val="single"/>
                <w:lang w:eastAsia="en-CA"/>
              </w:rPr>
              <w:t>Soft costs  </w:t>
            </w:r>
          </w:p>
        </w:tc>
        <w:tc>
          <w:tcPr>
            <w:tcW w:w="1160" w:type="dxa"/>
            <w:noWrap/>
            <w:vAlign w:val="bottom"/>
            <w:hideMark/>
          </w:tcPr>
          <w:p w14:paraId="06FDA7E2" w14:textId="77777777" w:rsidR="00520208" w:rsidRDefault="00520208" w:rsidP="00AF510B">
            <w:pPr>
              <w:spacing w:line="240" w:lineRule="auto"/>
              <w:rPr>
                <w:rFonts w:ascii="Calibri" w:eastAsia="Times New Roman" w:hAnsi="Calibri" w:cs="Calibri"/>
                <w:b/>
                <w:bCs/>
                <w:color w:val="000000"/>
                <w:lang w:eastAsia="en-CA"/>
              </w:rPr>
            </w:pPr>
            <w:r>
              <w:rPr>
                <w:rFonts w:ascii="Calibri" w:eastAsia="Times New Roman" w:hAnsi="Calibri" w:cs="Calibri"/>
                <w:b/>
                <w:bCs/>
                <w:color w:val="000000"/>
                <w:lang w:eastAsia="en-CA"/>
              </w:rPr>
              <w:t>$140</w:t>
            </w:r>
          </w:p>
        </w:tc>
        <w:tc>
          <w:tcPr>
            <w:tcW w:w="1540" w:type="dxa"/>
            <w:noWrap/>
            <w:vAlign w:val="bottom"/>
            <w:hideMark/>
          </w:tcPr>
          <w:p w14:paraId="4C1E4E8F" w14:textId="77777777" w:rsidR="00520208" w:rsidRDefault="00520208" w:rsidP="00AF510B">
            <w:pPr>
              <w:spacing w:line="240" w:lineRule="auto"/>
              <w:rPr>
                <w:rFonts w:ascii="Calibri" w:eastAsia="Times New Roman" w:hAnsi="Calibri" w:cs="Calibri"/>
                <w:b/>
                <w:bCs/>
                <w:color w:val="000000"/>
                <w:lang w:eastAsia="en-CA"/>
              </w:rPr>
            </w:pPr>
            <w:r>
              <w:rPr>
                <w:rFonts w:ascii="Calibri" w:eastAsia="Times New Roman" w:hAnsi="Calibri" w:cs="Calibri"/>
                <w:b/>
                <w:bCs/>
                <w:color w:val="000000"/>
                <w:lang w:eastAsia="en-CA"/>
              </w:rPr>
              <w:t>per sq.ft.</w:t>
            </w:r>
          </w:p>
        </w:tc>
      </w:tr>
      <w:tr w:rsidR="00520208" w14:paraId="2A4D7391" w14:textId="77777777" w:rsidTr="00520208">
        <w:trPr>
          <w:trHeight w:val="300"/>
        </w:trPr>
        <w:tc>
          <w:tcPr>
            <w:tcW w:w="3060" w:type="dxa"/>
            <w:noWrap/>
            <w:vAlign w:val="center"/>
            <w:hideMark/>
          </w:tcPr>
          <w:p w14:paraId="64BAA6D6" w14:textId="77777777" w:rsidR="00520208" w:rsidRDefault="00520208" w:rsidP="00AF510B">
            <w:pPr>
              <w:spacing w:line="240" w:lineRule="auto"/>
              <w:ind w:right="-166"/>
              <w:rPr>
                <w:rFonts w:ascii="Century Schoolbook" w:eastAsia="Times New Roman" w:hAnsi="Century Schoolbook" w:cs="Calibri"/>
                <w:b/>
                <w:bCs/>
                <w:color w:val="1F497D"/>
                <w:u w:val="single"/>
                <w:lang w:eastAsia="en-CA"/>
              </w:rPr>
            </w:pPr>
            <w:r>
              <w:rPr>
                <w:rFonts w:ascii="Century Schoolbook" w:eastAsia="Times New Roman" w:hAnsi="Century Schoolbook" w:cs="Calibri"/>
                <w:b/>
                <w:bCs/>
                <w:color w:val="1F497D"/>
                <w:u w:val="single"/>
                <w:lang w:eastAsia="en-CA"/>
              </w:rPr>
              <w:t>Land costs</w:t>
            </w:r>
          </w:p>
        </w:tc>
        <w:tc>
          <w:tcPr>
            <w:tcW w:w="1160" w:type="dxa"/>
            <w:noWrap/>
            <w:vAlign w:val="bottom"/>
            <w:hideMark/>
          </w:tcPr>
          <w:p w14:paraId="679F3B27" w14:textId="77777777" w:rsidR="00520208" w:rsidRPr="00520208" w:rsidRDefault="00520208" w:rsidP="00AF510B">
            <w:pPr>
              <w:spacing w:line="240" w:lineRule="auto"/>
              <w:rPr>
                <w:rFonts w:ascii="Calibri" w:eastAsia="Times New Roman" w:hAnsi="Calibri" w:cs="Calibri"/>
                <w:b/>
                <w:bCs/>
                <w:color w:val="000000"/>
                <w:u w:val="single"/>
                <w:lang w:eastAsia="en-CA"/>
              </w:rPr>
            </w:pPr>
            <w:r w:rsidRPr="00520208">
              <w:rPr>
                <w:rFonts w:ascii="Calibri" w:eastAsia="Times New Roman" w:hAnsi="Calibri" w:cs="Calibri"/>
                <w:b/>
                <w:bCs/>
                <w:color w:val="000000"/>
                <w:u w:val="single"/>
                <w:lang w:eastAsia="en-CA"/>
              </w:rPr>
              <w:t>$140</w:t>
            </w:r>
          </w:p>
        </w:tc>
        <w:tc>
          <w:tcPr>
            <w:tcW w:w="1540" w:type="dxa"/>
            <w:noWrap/>
            <w:vAlign w:val="bottom"/>
            <w:hideMark/>
          </w:tcPr>
          <w:p w14:paraId="62AD3815" w14:textId="77777777" w:rsidR="00520208" w:rsidRDefault="00520208" w:rsidP="00AF510B">
            <w:pPr>
              <w:spacing w:line="240" w:lineRule="auto"/>
              <w:rPr>
                <w:rFonts w:ascii="Calibri" w:eastAsia="Times New Roman" w:hAnsi="Calibri" w:cs="Calibri"/>
                <w:b/>
                <w:bCs/>
                <w:color w:val="000000"/>
                <w:lang w:eastAsia="en-CA"/>
              </w:rPr>
            </w:pPr>
            <w:r>
              <w:rPr>
                <w:rFonts w:ascii="Calibri" w:eastAsia="Times New Roman" w:hAnsi="Calibri" w:cs="Calibri"/>
                <w:b/>
                <w:bCs/>
                <w:color w:val="000000"/>
                <w:lang w:eastAsia="en-CA"/>
              </w:rPr>
              <w:t>per sq.ft.</w:t>
            </w:r>
          </w:p>
        </w:tc>
      </w:tr>
      <w:tr w:rsidR="00520208" w14:paraId="68457B0A" w14:textId="77777777" w:rsidTr="00520208">
        <w:trPr>
          <w:trHeight w:val="300"/>
        </w:trPr>
        <w:tc>
          <w:tcPr>
            <w:tcW w:w="3060" w:type="dxa"/>
            <w:noWrap/>
            <w:vAlign w:val="center"/>
            <w:hideMark/>
          </w:tcPr>
          <w:p w14:paraId="785757C4" w14:textId="77777777" w:rsidR="00520208" w:rsidRDefault="00520208" w:rsidP="00AF510B">
            <w:pPr>
              <w:spacing w:line="240" w:lineRule="auto"/>
              <w:ind w:right="-166"/>
              <w:rPr>
                <w:rFonts w:ascii="Century Schoolbook" w:eastAsia="Times New Roman" w:hAnsi="Century Schoolbook" w:cs="Calibri"/>
                <w:b/>
                <w:bCs/>
                <w:color w:val="1F497D"/>
                <w:u w:val="single"/>
                <w:lang w:eastAsia="en-CA"/>
              </w:rPr>
            </w:pPr>
            <w:r>
              <w:rPr>
                <w:rFonts w:ascii="Century Schoolbook" w:eastAsia="Times New Roman" w:hAnsi="Century Schoolbook" w:cs="Calibri"/>
                <w:b/>
                <w:bCs/>
                <w:color w:val="1F497D"/>
                <w:u w:val="single"/>
                <w:lang w:eastAsia="en-CA"/>
              </w:rPr>
              <w:t>Total </w:t>
            </w:r>
          </w:p>
        </w:tc>
        <w:tc>
          <w:tcPr>
            <w:tcW w:w="1160" w:type="dxa"/>
            <w:noWrap/>
            <w:vAlign w:val="bottom"/>
            <w:hideMark/>
          </w:tcPr>
          <w:p w14:paraId="49CEEF17" w14:textId="77777777" w:rsidR="00520208" w:rsidRPr="00AC1F46" w:rsidRDefault="00520208" w:rsidP="00AF510B">
            <w:pPr>
              <w:spacing w:line="240" w:lineRule="auto"/>
              <w:rPr>
                <w:rFonts w:ascii="Calibri" w:eastAsia="Times New Roman" w:hAnsi="Calibri" w:cs="Calibri"/>
                <w:b/>
                <w:bCs/>
                <w:color w:val="000000"/>
                <w:u w:val="single"/>
                <w:lang w:eastAsia="en-CA"/>
              </w:rPr>
            </w:pPr>
            <w:r w:rsidRPr="00AC1F46">
              <w:rPr>
                <w:rFonts w:ascii="Calibri" w:eastAsia="Times New Roman" w:hAnsi="Calibri" w:cs="Calibri"/>
                <w:b/>
                <w:bCs/>
                <w:color w:val="000000"/>
                <w:u w:val="single"/>
                <w:lang w:eastAsia="en-CA"/>
              </w:rPr>
              <w:t>$640</w:t>
            </w:r>
          </w:p>
        </w:tc>
        <w:tc>
          <w:tcPr>
            <w:tcW w:w="1540" w:type="dxa"/>
            <w:noWrap/>
            <w:vAlign w:val="bottom"/>
            <w:hideMark/>
          </w:tcPr>
          <w:p w14:paraId="22B72CFC" w14:textId="77777777" w:rsidR="00520208" w:rsidRDefault="00520208" w:rsidP="00AF510B">
            <w:pPr>
              <w:spacing w:line="240" w:lineRule="auto"/>
              <w:rPr>
                <w:rFonts w:ascii="Calibri" w:eastAsia="Times New Roman" w:hAnsi="Calibri" w:cs="Calibri"/>
                <w:b/>
                <w:bCs/>
                <w:color w:val="000000"/>
                <w:lang w:eastAsia="en-CA"/>
              </w:rPr>
            </w:pPr>
            <w:r>
              <w:rPr>
                <w:rFonts w:ascii="Calibri" w:eastAsia="Times New Roman" w:hAnsi="Calibri" w:cs="Calibri"/>
                <w:b/>
                <w:bCs/>
                <w:color w:val="000000"/>
                <w:lang w:eastAsia="en-CA"/>
              </w:rPr>
              <w:t>per sq.ft.</w:t>
            </w:r>
          </w:p>
        </w:tc>
      </w:tr>
    </w:tbl>
    <w:p w14:paraId="4C8E1103" w14:textId="1A0B2DB6" w:rsidR="00A96937" w:rsidRDefault="00520208" w:rsidP="001F4B5E">
      <w:r>
        <w:br/>
      </w:r>
      <w:r w:rsidR="0081346C">
        <w:t>Thus,</w:t>
      </w:r>
      <w:r w:rsidR="00A96937">
        <w:t xml:space="preserve"> the </w:t>
      </w:r>
      <w:r w:rsidR="00A96937" w:rsidRPr="008A55BD">
        <w:rPr>
          <w:u w:val="single"/>
        </w:rPr>
        <w:t>total cost</w:t>
      </w:r>
      <w:r w:rsidR="00A96937">
        <w:t xml:space="preserve"> is estimated to be $1</w:t>
      </w:r>
      <w:r w:rsidR="00793E15">
        <w:t>60,983,680</w:t>
      </w:r>
      <w:r w:rsidR="00A96937">
        <w:t xml:space="preserve"> </w:t>
      </w:r>
      <w:r w:rsidR="008A55BD">
        <w:t>($640</w:t>
      </w:r>
      <w:r>
        <w:t xml:space="preserve">/sq.ft. </w:t>
      </w:r>
      <w:r w:rsidR="008A55BD">
        <w:t>x 2</w:t>
      </w:r>
      <w:r w:rsidR="008B5510">
        <w:t>51,537</w:t>
      </w:r>
      <w:r w:rsidR="008A55BD">
        <w:t xml:space="preserve"> sq.ft.)</w:t>
      </w:r>
    </w:p>
    <w:p w14:paraId="012F8CE4" w14:textId="010C16D8" w:rsidR="00A96937" w:rsidRDefault="00A96937" w:rsidP="001F4B5E">
      <w:r>
        <w:t xml:space="preserve">The </w:t>
      </w:r>
      <w:r w:rsidRPr="008A55BD">
        <w:rPr>
          <w:u w:val="single"/>
        </w:rPr>
        <w:t xml:space="preserve">total </w:t>
      </w:r>
      <w:r w:rsidR="008A55BD">
        <w:rPr>
          <w:u w:val="single"/>
        </w:rPr>
        <w:t xml:space="preserve">sales </w:t>
      </w:r>
      <w:r w:rsidRPr="008A55BD">
        <w:rPr>
          <w:u w:val="single"/>
        </w:rPr>
        <w:t>revenue</w:t>
      </w:r>
      <w:r w:rsidR="004B1253" w:rsidRPr="004B1253">
        <w:t xml:space="preserve"> </w:t>
      </w:r>
      <w:r w:rsidR="004B1253">
        <w:t>from the sale of the condos</w:t>
      </w:r>
      <w:r>
        <w:t xml:space="preserve"> is estimated to be $</w:t>
      </w:r>
      <w:r w:rsidR="004B1253">
        <w:t>24</w:t>
      </w:r>
      <w:r w:rsidR="00793E15">
        <w:t>1,326</w:t>
      </w:r>
      <w:r w:rsidR="004B1253">
        <w:t>,000</w:t>
      </w:r>
      <w:r w:rsidR="00A70FD9">
        <w:t xml:space="preserve"> based on an average price of $750,000</w:t>
      </w:r>
      <w:r w:rsidR="0081346C">
        <w:t xml:space="preserve"> for 315 units, and allowing for a </w:t>
      </w:r>
      <w:r w:rsidR="00BE35F9">
        <w:t xml:space="preserve">50% price </w:t>
      </w:r>
      <w:r w:rsidR="0081346C">
        <w:t>reduction per unit for the additional 12 affordable units.</w:t>
      </w:r>
    </w:p>
    <w:p w14:paraId="183CB06B" w14:textId="77777777" w:rsidR="004B1253" w:rsidRDefault="004B1253" w:rsidP="001F4B5E">
      <w:r>
        <w:t xml:space="preserve">The present City zoning allows for a residential floor area (GFA) of 79,570 sq.ft. </w:t>
      </w:r>
    </w:p>
    <w:p w14:paraId="6B48A514" w14:textId="2DAFA21E" w:rsidR="004B1253" w:rsidRDefault="004B1253" w:rsidP="001F4B5E">
      <w:r>
        <w:t xml:space="preserve">The developer’s proposal </w:t>
      </w:r>
      <w:r w:rsidR="00ED2355">
        <w:t xml:space="preserve">is for </w:t>
      </w:r>
      <w:r>
        <w:t>a residential floor area (GFA) of 2</w:t>
      </w:r>
      <w:r w:rsidR="008B5510">
        <w:t>51,537</w:t>
      </w:r>
      <w:r>
        <w:t xml:space="preserve"> sq</w:t>
      </w:r>
      <w:r w:rsidR="0081346C">
        <w:t>.</w:t>
      </w:r>
      <w:r>
        <w:t xml:space="preserve"> ft</w:t>
      </w:r>
      <w:r w:rsidR="0081346C">
        <w:t>.</w:t>
      </w:r>
    </w:p>
    <w:p w14:paraId="5CF1DC0C" w14:textId="2F8CF102" w:rsidR="00A96937" w:rsidRDefault="004B1253" w:rsidP="00A96937">
      <w:pPr>
        <w:spacing w:before="100" w:beforeAutospacing="1" w:after="100" w:afterAutospacing="1"/>
        <w:rPr>
          <w:rFonts w:ascii="Century Schoolbook" w:hAnsi="Century Schoolbook"/>
          <w:sz w:val="24"/>
          <w:szCs w:val="24"/>
        </w:rPr>
      </w:pPr>
      <w:bookmarkStart w:id="3" w:name="_Hlk84927219"/>
      <w:r>
        <w:rPr>
          <w:rFonts w:ascii="Century Schoolbook" w:hAnsi="Century Schoolbook"/>
          <w:sz w:val="24"/>
          <w:szCs w:val="24"/>
        </w:rPr>
        <w:t xml:space="preserve">This </w:t>
      </w:r>
      <w:r w:rsidR="00AC0E6C">
        <w:rPr>
          <w:rFonts w:ascii="Century Schoolbook" w:hAnsi="Century Schoolbook"/>
          <w:sz w:val="24"/>
          <w:szCs w:val="24"/>
        </w:rPr>
        <w:t xml:space="preserve">is </w:t>
      </w:r>
      <w:r w:rsidR="00AC0E6C" w:rsidRPr="00AC0E6C">
        <w:rPr>
          <w:rFonts w:ascii="Century Schoolbook" w:hAnsi="Century Schoolbook"/>
          <w:sz w:val="24"/>
          <w:szCs w:val="24"/>
          <w:u w:val="single"/>
        </w:rPr>
        <w:t>more than a 300% increase</w:t>
      </w:r>
      <w:r w:rsidR="00AC0E6C">
        <w:rPr>
          <w:rFonts w:ascii="Century Schoolbook" w:hAnsi="Century Schoolbook"/>
          <w:sz w:val="24"/>
          <w:szCs w:val="24"/>
        </w:rPr>
        <w:t xml:space="preserve"> </w:t>
      </w:r>
      <w:r w:rsidR="00AC1F46">
        <w:rPr>
          <w:rFonts w:ascii="Century Schoolbook" w:hAnsi="Century Schoolbook"/>
          <w:sz w:val="24"/>
          <w:szCs w:val="24"/>
        </w:rPr>
        <w:t xml:space="preserve">in density </w:t>
      </w:r>
      <w:r w:rsidR="00ED2355">
        <w:rPr>
          <w:rFonts w:ascii="Century Schoolbook" w:hAnsi="Century Schoolbook"/>
          <w:sz w:val="24"/>
          <w:szCs w:val="24"/>
        </w:rPr>
        <w:t xml:space="preserve">from what the present zoning allows </w:t>
      </w:r>
      <w:r w:rsidR="00AF510B">
        <w:rPr>
          <w:rFonts w:ascii="Century Schoolbook" w:hAnsi="Century Schoolbook"/>
          <w:sz w:val="24"/>
          <w:szCs w:val="24"/>
        </w:rPr>
        <w:t xml:space="preserve">– from 79,570 </w:t>
      </w:r>
      <w:r w:rsidR="0081346C">
        <w:rPr>
          <w:rFonts w:ascii="Century Schoolbook" w:hAnsi="Century Schoolbook"/>
          <w:sz w:val="24"/>
          <w:szCs w:val="24"/>
        </w:rPr>
        <w:t>sq. ft</w:t>
      </w:r>
      <w:r w:rsidR="00AF510B">
        <w:rPr>
          <w:rFonts w:ascii="Century Schoolbook" w:hAnsi="Century Schoolbook"/>
          <w:sz w:val="24"/>
          <w:szCs w:val="24"/>
        </w:rPr>
        <w:t xml:space="preserve"> to 251,537 sq.ft. </w:t>
      </w:r>
    </w:p>
    <w:bookmarkEnd w:id="3"/>
    <w:p w14:paraId="0F16772C" w14:textId="3F0B5BB4" w:rsidR="00ED2355" w:rsidRDefault="001F45B3" w:rsidP="00ED2355">
      <w:pPr>
        <w:spacing w:before="100" w:beforeAutospacing="1" w:after="100" w:afterAutospacing="1"/>
      </w:pPr>
      <w:r>
        <w:rPr>
          <w:rFonts w:ascii="Century Schoolbook" w:hAnsi="Century Schoolbook"/>
          <w:sz w:val="24"/>
          <w:szCs w:val="24"/>
        </w:rPr>
        <w:t>As outlined in the attached “Analysis” t</w:t>
      </w:r>
      <w:r w:rsidR="00793E15">
        <w:rPr>
          <w:rFonts w:ascii="Century Schoolbook" w:hAnsi="Century Schoolbook"/>
          <w:sz w:val="24"/>
          <w:szCs w:val="24"/>
        </w:rPr>
        <w:t xml:space="preserve">he increase of </w:t>
      </w:r>
      <w:r w:rsidR="0081346C">
        <w:rPr>
          <w:rFonts w:ascii="Century Schoolbook" w:hAnsi="Century Schoolbook"/>
          <w:sz w:val="24"/>
          <w:szCs w:val="24"/>
        </w:rPr>
        <w:t xml:space="preserve">approximately </w:t>
      </w:r>
      <w:r w:rsidR="00793E15">
        <w:rPr>
          <w:rFonts w:ascii="Century Schoolbook" w:hAnsi="Century Schoolbook"/>
          <w:sz w:val="24"/>
          <w:szCs w:val="24"/>
        </w:rPr>
        <w:t>233 units</w:t>
      </w:r>
      <w:r>
        <w:rPr>
          <w:rFonts w:ascii="Century Schoolbook" w:hAnsi="Century Schoolbook"/>
          <w:sz w:val="24"/>
          <w:szCs w:val="24"/>
        </w:rPr>
        <w:t>,</w:t>
      </w:r>
      <w:r w:rsidR="00793E15">
        <w:rPr>
          <w:rFonts w:ascii="Century Schoolbook" w:hAnsi="Century Schoolbook"/>
          <w:sz w:val="24"/>
          <w:szCs w:val="24"/>
        </w:rPr>
        <w:t xml:space="preserve"> </w:t>
      </w:r>
      <w:r w:rsidR="00ED2355">
        <w:rPr>
          <w:rFonts w:ascii="Century Schoolbook" w:hAnsi="Century Schoolbook"/>
          <w:sz w:val="24"/>
          <w:szCs w:val="24"/>
        </w:rPr>
        <w:t xml:space="preserve">(average size of 769 sq.ft.) with an estimated land value of $140/ pe unit, will yield </w:t>
      </w:r>
      <w:r w:rsidR="00ED2355">
        <w:rPr>
          <w:rFonts w:ascii="Century Schoolbook" w:hAnsi="Century Schoolbook"/>
          <w:sz w:val="24"/>
          <w:szCs w:val="24"/>
          <w:u w:val="single"/>
        </w:rPr>
        <w:t xml:space="preserve">a bonus of $32,600,000 compared to what the developer would have to pay for 233 units on another site. </w:t>
      </w:r>
    </w:p>
    <w:p w14:paraId="67FF675B" w14:textId="1B36E6A4" w:rsidR="00ED2355" w:rsidRDefault="00ED2355" w:rsidP="00ED2355">
      <w:pPr>
        <w:spacing w:before="100" w:beforeAutospacing="1" w:after="100" w:afterAutospacing="1"/>
        <w:rPr>
          <w:rFonts w:ascii="Century Schoolbook" w:hAnsi="Century Schoolbook"/>
          <w:sz w:val="24"/>
          <w:szCs w:val="24"/>
        </w:rPr>
      </w:pPr>
      <w:r>
        <w:rPr>
          <w:rFonts w:ascii="Century Schoolbook" w:hAnsi="Century Schoolbook"/>
          <w:sz w:val="24"/>
          <w:szCs w:val="24"/>
        </w:rPr>
        <w:t>In addition, the</w:t>
      </w:r>
      <w:r>
        <w:rPr>
          <w:rFonts w:ascii="Century Schoolbook" w:hAnsi="Century Schoolbook"/>
          <w:sz w:val="24"/>
          <w:szCs w:val="24"/>
          <w:u w:val="single"/>
        </w:rPr>
        <w:t xml:space="preserve"> estimated profit</w:t>
      </w:r>
      <w:r>
        <w:rPr>
          <w:rFonts w:ascii="Century Schoolbook" w:hAnsi="Century Schoolbook"/>
          <w:sz w:val="24"/>
          <w:szCs w:val="24"/>
        </w:rPr>
        <w:t xml:space="preserve"> for the developer from the additional units (over the existing zoning density) is estimated to be </w:t>
      </w:r>
      <w:r>
        <w:rPr>
          <w:rFonts w:ascii="Century Schoolbook" w:hAnsi="Century Schoolbook"/>
          <w:sz w:val="24"/>
          <w:szCs w:val="24"/>
          <w:u w:val="single"/>
        </w:rPr>
        <w:t>an additional $</w:t>
      </w:r>
      <w:r w:rsidR="0081346C">
        <w:rPr>
          <w:rFonts w:ascii="Century Schoolbook" w:hAnsi="Century Schoolbook"/>
          <w:sz w:val="24"/>
          <w:szCs w:val="24"/>
          <w:u w:val="single"/>
        </w:rPr>
        <w:t>32 million</w:t>
      </w:r>
      <w:r>
        <w:rPr>
          <w:rFonts w:ascii="Century Schoolbook" w:hAnsi="Century Schoolbook"/>
          <w:sz w:val="24"/>
          <w:szCs w:val="24"/>
        </w:rPr>
        <w:t xml:space="preserve"> as outlined in the attached schedule.</w:t>
      </w:r>
      <w:r w:rsidR="00A70FD9">
        <w:rPr>
          <w:rFonts w:ascii="Century Schoolbook" w:hAnsi="Century Schoolbook"/>
          <w:sz w:val="24"/>
          <w:szCs w:val="24"/>
        </w:rPr>
        <w:t xml:space="preserve"> </w:t>
      </w:r>
    </w:p>
    <w:p w14:paraId="243AE6BD" w14:textId="5D3DD49E" w:rsidR="00330576" w:rsidRDefault="00330576" w:rsidP="00330576">
      <w:pPr>
        <w:spacing w:before="100" w:beforeAutospacing="1" w:after="100" w:afterAutospacing="1"/>
        <w:jc w:val="right"/>
        <w:rPr>
          <w:rFonts w:ascii="Century Schoolbook" w:hAnsi="Century Schoolbook"/>
          <w:sz w:val="24"/>
          <w:szCs w:val="24"/>
        </w:rPr>
      </w:pPr>
      <w:r>
        <w:rPr>
          <w:rFonts w:ascii="Century Schoolbook" w:hAnsi="Century Schoolbook"/>
          <w:sz w:val="24"/>
          <w:szCs w:val="24"/>
        </w:rPr>
        <w:t>….. 2</w:t>
      </w:r>
    </w:p>
    <w:p w14:paraId="2812973B" w14:textId="6C407724" w:rsidR="00330576" w:rsidRDefault="00330576" w:rsidP="00330576">
      <w:pPr>
        <w:spacing w:before="100" w:beforeAutospacing="1" w:after="100" w:afterAutospacing="1"/>
        <w:jc w:val="right"/>
      </w:pPr>
    </w:p>
    <w:p w14:paraId="00278F93" w14:textId="77777777" w:rsidR="00330576" w:rsidRDefault="00330576" w:rsidP="00330576">
      <w:pPr>
        <w:spacing w:before="100" w:beforeAutospacing="1" w:after="100" w:afterAutospacing="1"/>
        <w:jc w:val="right"/>
      </w:pPr>
    </w:p>
    <w:p w14:paraId="56C708D8" w14:textId="59CDF380" w:rsidR="0081346C" w:rsidRDefault="00ED2355" w:rsidP="00330576">
      <w:pPr>
        <w:spacing w:before="100" w:beforeAutospacing="1" w:after="100" w:afterAutospacing="1"/>
        <w:rPr>
          <w:rFonts w:ascii="Century Schoolbook" w:hAnsi="Century Schoolbook"/>
          <w:sz w:val="24"/>
          <w:szCs w:val="24"/>
        </w:rPr>
      </w:pPr>
      <w:r>
        <w:rPr>
          <w:rFonts w:ascii="Century Schoolbook" w:hAnsi="Century Schoolbook"/>
          <w:sz w:val="24"/>
          <w:szCs w:val="24"/>
        </w:rPr>
        <w:t xml:space="preserve">Based on these assumptions, the additional land value of </w:t>
      </w:r>
      <w:r w:rsidR="0081346C">
        <w:rPr>
          <w:rFonts w:ascii="Century Schoolbook" w:hAnsi="Century Schoolbook"/>
          <w:sz w:val="24"/>
          <w:szCs w:val="24"/>
        </w:rPr>
        <w:t>the increased density</w:t>
      </w:r>
      <w:r>
        <w:rPr>
          <w:rFonts w:ascii="Century Schoolbook" w:hAnsi="Century Schoolbook"/>
          <w:sz w:val="24"/>
          <w:szCs w:val="24"/>
        </w:rPr>
        <w:t xml:space="preserve"> plus the profit will yield </w:t>
      </w:r>
      <w:r w:rsidR="0081346C" w:rsidRPr="0081346C">
        <w:rPr>
          <w:rFonts w:ascii="Century Schoolbook" w:hAnsi="Century Schoolbook"/>
          <w:sz w:val="24"/>
          <w:szCs w:val="24"/>
          <w:u w:val="single"/>
        </w:rPr>
        <w:t xml:space="preserve">total benefits </w:t>
      </w:r>
      <w:r w:rsidRPr="0081346C">
        <w:rPr>
          <w:rFonts w:ascii="Century Schoolbook" w:hAnsi="Century Schoolbook"/>
          <w:sz w:val="24"/>
          <w:szCs w:val="24"/>
          <w:u w:val="single"/>
        </w:rPr>
        <w:t>of $65 million to the developer</w:t>
      </w:r>
      <w:r>
        <w:rPr>
          <w:rFonts w:ascii="Century Schoolbook" w:hAnsi="Century Schoolbook"/>
          <w:sz w:val="24"/>
          <w:szCs w:val="24"/>
        </w:rPr>
        <w:t xml:space="preserve"> for the rezoning being requested</w:t>
      </w:r>
      <w:r w:rsidR="0081346C">
        <w:rPr>
          <w:rFonts w:ascii="Century Schoolbook" w:hAnsi="Century Schoolbook"/>
          <w:sz w:val="24"/>
          <w:szCs w:val="24"/>
        </w:rPr>
        <w:t>.</w:t>
      </w:r>
      <w:r w:rsidR="007301E6">
        <w:rPr>
          <w:rFonts w:ascii="Century Schoolbook" w:hAnsi="Century Schoolbook"/>
          <w:sz w:val="24"/>
          <w:szCs w:val="24"/>
        </w:rPr>
        <w:t xml:space="preserve">                  </w:t>
      </w:r>
    </w:p>
    <w:p w14:paraId="47E9A5C5" w14:textId="77777777" w:rsidR="00ED2355" w:rsidRDefault="00ED2355" w:rsidP="00ED2355">
      <w:pPr>
        <w:spacing w:before="100" w:beforeAutospacing="1" w:after="100" w:afterAutospacing="1"/>
      </w:pPr>
      <w:r>
        <w:rPr>
          <w:rFonts w:ascii="Century Schoolbook" w:hAnsi="Century Schoolbook"/>
          <w:sz w:val="24"/>
          <w:szCs w:val="24"/>
        </w:rPr>
        <w:t>We understand that the developer will be making an offer to the City for a relatively small amount by way of a Section 37 proposal and/or other small benefits being offered.</w:t>
      </w:r>
    </w:p>
    <w:p w14:paraId="698963BC" w14:textId="77777777" w:rsidR="00ED2355" w:rsidRDefault="00ED2355" w:rsidP="00ED2355">
      <w:pPr>
        <w:spacing w:before="100" w:beforeAutospacing="1" w:after="100" w:afterAutospacing="1"/>
        <w:rPr>
          <w:rFonts w:ascii="Century Schoolbook" w:hAnsi="Century Schoolbook"/>
          <w:sz w:val="24"/>
          <w:szCs w:val="24"/>
        </w:rPr>
      </w:pPr>
      <w:r>
        <w:rPr>
          <w:rFonts w:ascii="Century Schoolbook" w:hAnsi="Century Schoolbook"/>
          <w:sz w:val="24"/>
          <w:szCs w:val="24"/>
        </w:rPr>
        <w:t xml:space="preserve">However, given the current housing affordability crisis, our citizens group is asking for the City to stop giving away millions to developers and to demand a substantial component in affordable housing units in these new developments – for the huge benefits that the developer is requesting. </w:t>
      </w:r>
    </w:p>
    <w:p w14:paraId="56C41616" w14:textId="67BC6111" w:rsidR="00ED2355" w:rsidRDefault="00A70FD9" w:rsidP="00ED2355">
      <w:pPr>
        <w:spacing w:before="100" w:beforeAutospacing="1" w:after="100" w:afterAutospacing="1"/>
        <w:rPr>
          <w:rFonts w:ascii="Calibri" w:hAnsi="Calibri"/>
        </w:rPr>
      </w:pPr>
      <w:r>
        <w:rPr>
          <w:rFonts w:ascii="Century Schoolbook" w:hAnsi="Century Schoolbook"/>
          <w:sz w:val="24"/>
          <w:szCs w:val="24"/>
        </w:rPr>
        <w:t>And t</w:t>
      </w:r>
      <w:r w:rsidR="00ED2355">
        <w:rPr>
          <w:rFonts w:ascii="Century Schoolbook" w:hAnsi="Century Schoolbook"/>
          <w:sz w:val="24"/>
          <w:szCs w:val="24"/>
        </w:rPr>
        <w:t xml:space="preserve">here are over 20 projects that are being rushed through the City’s approval process to avoid any inclusionary zoning requirements.   </w:t>
      </w:r>
      <w:r>
        <w:rPr>
          <w:rFonts w:ascii="Century Schoolbook" w:hAnsi="Century Schoolbook"/>
          <w:sz w:val="24"/>
          <w:szCs w:val="24"/>
        </w:rPr>
        <w:br/>
      </w:r>
    </w:p>
    <w:p w14:paraId="4A2FDE3C" w14:textId="10D8CAEA" w:rsidR="001F4B5E" w:rsidRDefault="00793E15" w:rsidP="001F4B5E">
      <w:r w:rsidRPr="001F45B3">
        <w:rPr>
          <w:b/>
          <w:sz w:val="28"/>
          <w:szCs w:val="28"/>
        </w:rPr>
        <w:t>Backg</w:t>
      </w:r>
      <w:r w:rsidR="001F45B3" w:rsidRPr="001F45B3">
        <w:rPr>
          <w:b/>
          <w:sz w:val="28"/>
          <w:szCs w:val="28"/>
        </w:rPr>
        <w:t>r</w:t>
      </w:r>
      <w:r w:rsidRPr="001F45B3">
        <w:rPr>
          <w:b/>
          <w:sz w:val="28"/>
          <w:szCs w:val="28"/>
        </w:rPr>
        <w:t>ound Info</w:t>
      </w:r>
      <w:r w:rsidR="001F45B3" w:rsidRPr="001F45B3">
        <w:rPr>
          <w:b/>
          <w:sz w:val="28"/>
          <w:szCs w:val="28"/>
        </w:rPr>
        <w:t>rmation</w:t>
      </w:r>
      <w:r w:rsidR="00ED2355">
        <w:rPr>
          <w:b/>
          <w:sz w:val="28"/>
          <w:szCs w:val="28"/>
        </w:rPr>
        <w:t xml:space="preserve"> (</w:t>
      </w:r>
      <w:r w:rsidR="00ED2355" w:rsidRPr="00ED2355">
        <w:rPr>
          <w:b/>
          <w:i/>
          <w:sz w:val="24"/>
          <w:szCs w:val="24"/>
        </w:rPr>
        <w:t>provided by</w:t>
      </w:r>
      <w:r w:rsidR="00ED2355">
        <w:rPr>
          <w:b/>
          <w:sz w:val="28"/>
          <w:szCs w:val="28"/>
        </w:rPr>
        <w:t xml:space="preserve"> the</w:t>
      </w:r>
      <w:r w:rsidR="00ED2355" w:rsidRPr="00ED2355">
        <w:rPr>
          <w:b/>
          <w:sz w:val="24"/>
          <w:szCs w:val="24"/>
        </w:rPr>
        <w:t xml:space="preserve"> City</w:t>
      </w:r>
      <w:r w:rsidR="00ED2355">
        <w:rPr>
          <w:b/>
          <w:sz w:val="28"/>
          <w:szCs w:val="28"/>
        </w:rPr>
        <w:t>)</w:t>
      </w:r>
      <w:r w:rsidR="001F45B3">
        <w:br/>
      </w:r>
      <w:r w:rsidR="001F45B3">
        <w:br/>
      </w:r>
      <w:r w:rsidR="001F4B5E">
        <w:t xml:space="preserve">On December 20, 2019, the City received an application to amend Zoning By-laws 438-86 and 569-2013 for 1540-1550 Bloor Street West to permit the development of the lands for a 25-storey (80.6 metres plus 6 metre mechanical penthouse) mixed-use building.  The proposal included </w:t>
      </w:r>
      <w:r w:rsidR="001F4B5E" w:rsidRPr="00C45803">
        <w:rPr>
          <w:highlight w:val="yellow"/>
          <w:u w:val="single"/>
        </w:rPr>
        <w:t>327 dwelling units, of which 12 would be affordable rental replacement units</w:t>
      </w:r>
      <w:r w:rsidR="001F4B5E" w:rsidRPr="00C45803">
        <w:rPr>
          <w:highlight w:val="yellow"/>
        </w:rPr>
        <w:t xml:space="preserve">; </w:t>
      </w:r>
      <w:r w:rsidR="001F4B5E" w:rsidRPr="00C45803">
        <w:rPr>
          <w:highlight w:val="yellow"/>
          <w:u w:val="single"/>
        </w:rPr>
        <w:t>25,638 square metres of residential gross floor area</w:t>
      </w:r>
      <w:r w:rsidR="001F4B5E" w:rsidRPr="001319EC">
        <w:rPr>
          <w:u w:val="single"/>
        </w:rPr>
        <w:t xml:space="preserve"> </w:t>
      </w:r>
      <w:r w:rsidR="001F4B5E">
        <w:t xml:space="preserve">and 807 square metres of commercial gross floor area.  The proposed total gross floor area of 26,445 square metres would result in a density of 10.72 times the area of the lot.  The proposal would incorporate a two-level below-grade garage with a total of 100 vehicular parking spaces.  A total of 337 bicycle parking spaces were proposed. </w:t>
      </w:r>
    </w:p>
    <w:p w14:paraId="296D7DF0" w14:textId="77777777" w:rsidR="001F4B5E" w:rsidRDefault="001F4B5E" w:rsidP="001F4B5E">
      <w:r>
        <w:t xml:space="preserve">The applicant appealed </w:t>
      </w:r>
      <w:r w:rsidRPr="001319EC">
        <w:rPr>
          <w:u w:val="single"/>
        </w:rPr>
        <w:t xml:space="preserve">City Council's neglect or failure to make a decision on its application for Zoning By-law Amendment </w:t>
      </w:r>
      <w:r>
        <w:t>(the "Appeal") to the Local Planning Appeal Tribunal (the "LPAT"), now continued as the Ontario Land Tribunal (the "OLT") on June 25, 2020.  The LPAT conducted two Case Management Conferences, on October 29, 2020 and February 10, 2021.  The LPAT scheduled a two-week hearing commencing on July 5, 2021, which was adjourned due to witness unavailability until January 10, 2022.</w:t>
      </w:r>
    </w:p>
    <w:bookmarkEnd w:id="0"/>
    <w:p w14:paraId="6885275E" w14:textId="77777777" w:rsidR="009831EE" w:rsidRDefault="009831EE"/>
    <w:sectPr w:rsidR="009831EE" w:rsidSect="0081346C">
      <w:headerReference w:type="default" r:id="rId9"/>
      <w:pgSz w:w="12240" w:h="15840"/>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1B4F8" w14:textId="77777777" w:rsidR="0081346C" w:rsidRDefault="0081346C" w:rsidP="0081346C">
      <w:pPr>
        <w:spacing w:after="0" w:line="240" w:lineRule="auto"/>
      </w:pPr>
      <w:r>
        <w:separator/>
      </w:r>
    </w:p>
  </w:endnote>
  <w:endnote w:type="continuationSeparator" w:id="0">
    <w:p w14:paraId="1073BB4A" w14:textId="77777777" w:rsidR="0081346C" w:rsidRDefault="0081346C" w:rsidP="00813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F2EDD" w14:textId="77777777" w:rsidR="0081346C" w:rsidRDefault="0081346C" w:rsidP="0081346C">
      <w:pPr>
        <w:spacing w:after="0" w:line="240" w:lineRule="auto"/>
      </w:pPr>
      <w:r>
        <w:separator/>
      </w:r>
    </w:p>
  </w:footnote>
  <w:footnote w:type="continuationSeparator" w:id="0">
    <w:p w14:paraId="15C11E13" w14:textId="77777777" w:rsidR="0081346C" w:rsidRDefault="0081346C" w:rsidP="008134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7308961"/>
      <w:docPartObj>
        <w:docPartGallery w:val="Page Numbers (Top of Page)"/>
        <w:docPartUnique/>
      </w:docPartObj>
    </w:sdtPr>
    <w:sdtEndPr>
      <w:rPr>
        <w:noProof/>
      </w:rPr>
    </w:sdtEndPr>
    <w:sdtContent>
      <w:p w14:paraId="3EBC4E1D" w14:textId="74CE7838" w:rsidR="0081346C" w:rsidRDefault="0081346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F69D1EF" w14:textId="77777777" w:rsidR="0081346C" w:rsidRDefault="008134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B5E"/>
    <w:rsid w:val="000F6D50"/>
    <w:rsid w:val="001F45B3"/>
    <w:rsid w:val="001F4B5E"/>
    <w:rsid w:val="002437AE"/>
    <w:rsid w:val="00330576"/>
    <w:rsid w:val="004B1253"/>
    <w:rsid w:val="004C0D3B"/>
    <w:rsid w:val="005156A6"/>
    <w:rsid w:val="00520208"/>
    <w:rsid w:val="007301E6"/>
    <w:rsid w:val="00793E15"/>
    <w:rsid w:val="0081346C"/>
    <w:rsid w:val="008A55BD"/>
    <w:rsid w:val="008B5510"/>
    <w:rsid w:val="009831EE"/>
    <w:rsid w:val="00A11457"/>
    <w:rsid w:val="00A70FD9"/>
    <w:rsid w:val="00A96937"/>
    <w:rsid w:val="00AC0E6C"/>
    <w:rsid w:val="00AC1F46"/>
    <w:rsid w:val="00AF510B"/>
    <w:rsid w:val="00BE35F9"/>
    <w:rsid w:val="00C45803"/>
    <w:rsid w:val="00C550C4"/>
    <w:rsid w:val="00ED23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510C8"/>
  <w15:chartTrackingRefBased/>
  <w15:docId w15:val="{7482BE68-7A27-44AC-9503-2E210CEA1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4B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46C"/>
  </w:style>
  <w:style w:type="paragraph" w:styleId="Footer">
    <w:name w:val="footer"/>
    <w:basedOn w:val="Normal"/>
    <w:link w:val="FooterChar"/>
    <w:uiPriority w:val="99"/>
    <w:unhideWhenUsed/>
    <w:rsid w:val="00813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851383">
      <w:bodyDiv w:val="1"/>
      <w:marLeft w:val="0"/>
      <w:marRight w:val="0"/>
      <w:marTop w:val="0"/>
      <w:marBottom w:val="0"/>
      <w:divBdr>
        <w:top w:val="none" w:sz="0" w:space="0" w:color="auto"/>
        <w:left w:val="none" w:sz="0" w:space="0" w:color="auto"/>
        <w:bottom w:val="none" w:sz="0" w:space="0" w:color="auto"/>
        <w:right w:val="none" w:sz="0" w:space="0" w:color="auto"/>
      </w:divBdr>
    </w:div>
    <w:div w:id="807088930">
      <w:bodyDiv w:val="1"/>
      <w:marLeft w:val="0"/>
      <w:marRight w:val="0"/>
      <w:marTop w:val="0"/>
      <w:marBottom w:val="0"/>
      <w:divBdr>
        <w:top w:val="none" w:sz="0" w:space="0" w:color="auto"/>
        <w:left w:val="none" w:sz="0" w:space="0" w:color="auto"/>
        <w:bottom w:val="none" w:sz="0" w:space="0" w:color="auto"/>
        <w:right w:val="none" w:sz="0" w:space="0" w:color="auto"/>
      </w:divBdr>
    </w:div>
    <w:div w:id="1032615161">
      <w:bodyDiv w:val="1"/>
      <w:marLeft w:val="0"/>
      <w:marRight w:val="0"/>
      <w:marTop w:val="0"/>
      <w:marBottom w:val="0"/>
      <w:divBdr>
        <w:top w:val="none" w:sz="0" w:space="0" w:color="auto"/>
        <w:left w:val="none" w:sz="0" w:space="0" w:color="auto"/>
        <w:bottom w:val="none" w:sz="0" w:space="0" w:color="auto"/>
        <w:right w:val="none" w:sz="0" w:space="0" w:color="auto"/>
      </w:divBdr>
    </w:div>
    <w:div w:id="1088428455">
      <w:bodyDiv w:val="1"/>
      <w:marLeft w:val="0"/>
      <w:marRight w:val="0"/>
      <w:marTop w:val="0"/>
      <w:marBottom w:val="0"/>
      <w:divBdr>
        <w:top w:val="none" w:sz="0" w:space="0" w:color="auto"/>
        <w:left w:val="none" w:sz="0" w:space="0" w:color="auto"/>
        <w:bottom w:val="none" w:sz="0" w:space="0" w:color="auto"/>
        <w:right w:val="none" w:sz="0" w:space="0" w:color="auto"/>
      </w:divBdr>
    </w:div>
    <w:div w:id="1165585335">
      <w:bodyDiv w:val="1"/>
      <w:marLeft w:val="0"/>
      <w:marRight w:val="0"/>
      <w:marTop w:val="0"/>
      <w:marBottom w:val="0"/>
      <w:divBdr>
        <w:top w:val="none" w:sz="0" w:space="0" w:color="auto"/>
        <w:left w:val="none" w:sz="0" w:space="0" w:color="auto"/>
        <w:bottom w:val="none" w:sz="0" w:space="0" w:color="auto"/>
        <w:right w:val="none" w:sz="0" w:space="0" w:color="auto"/>
      </w:divBdr>
    </w:div>
    <w:div w:id="192329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E39E131ED2814F94AA95DC5434AC20" ma:contentTypeVersion="14" ma:contentTypeDescription="Create a new document." ma:contentTypeScope="" ma:versionID="afe46a4d28ab9fc2257dc8ce66b623c4">
  <xsd:schema xmlns:xsd="http://www.w3.org/2001/XMLSchema" xmlns:xs="http://www.w3.org/2001/XMLSchema" xmlns:p="http://schemas.microsoft.com/office/2006/metadata/properties" xmlns:ns3="afcb67da-4815-4e14-8784-a31f552bff35" xmlns:ns4="5299a251-f7ad-4d74-b6c1-ec172df7041f" targetNamespace="http://schemas.microsoft.com/office/2006/metadata/properties" ma:root="true" ma:fieldsID="bbfba38951ae1dedd203b79b1e3e8208" ns3:_="" ns4:_="">
    <xsd:import namespace="afcb67da-4815-4e14-8784-a31f552bff35"/>
    <xsd:import namespace="5299a251-f7ad-4d74-b6c1-ec172df70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b67da-4815-4e14-8784-a31f552bff3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99a251-f7ad-4d74-b6c1-ec172df7041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B13472-DAD1-445A-8883-7DA70FEE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cb67da-4815-4e14-8784-a31f552bff35"/>
    <ds:schemaRef ds:uri="5299a251-f7ad-4d74-b6c1-ec172df70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8C47F-B7E2-402A-9978-7238E915D3AC}">
  <ds:schemaRefs>
    <ds:schemaRef ds:uri="http://schemas.microsoft.com/office/2006/documentManagement/types"/>
    <ds:schemaRef ds:uri="afcb67da-4815-4e14-8784-a31f552bff35"/>
    <ds:schemaRef ds:uri="http://schemas.microsoft.com/office/2006/metadata/properties"/>
    <ds:schemaRef ds:uri="5299a251-f7ad-4d74-b6c1-ec172df7041f"/>
    <ds:schemaRef ds:uri="http://purl.org/dc/dcmitype/"/>
    <ds:schemaRef ds:uri="http://purl.org/dc/elements/1.1/"/>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055B641-8E8C-43C4-AA44-E69A65148A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Walsh</dc:creator>
  <cp:keywords/>
  <dc:description/>
  <cp:lastModifiedBy>David Walsh</cp:lastModifiedBy>
  <cp:revision>6</cp:revision>
  <dcterms:created xsi:type="dcterms:W3CDTF">2021-10-12T15:22:00Z</dcterms:created>
  <dcterms:modified xsi:type="dcterms:W3CDTF">2021-10-13T14:16:00Z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0x010100F1E39E131ED2814F94AA95DC5434AC20</vt:lpwstr>
  </property>
</Properties>
</file>